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第十六批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林学海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1959.5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福州闽候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林善德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1960.4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郭建恩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1973.8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神学博士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陈仰永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1973.10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冯卫平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林代先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1965.9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福州连江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郑祥金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1964.1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福州仓山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神学硕士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江信传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1976.2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福州闽候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陈绪区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1956.11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福建长乐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  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1969.12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</w:t>
      </w:r>
    </w:p>
    <w:p/>
    <w:sectPr>
      <w:footerReference w:type="default" r:id="rId2"/>
      <w:footerReference w:type="even" r:id="rId3"/>
      <w:pgSz w:w="16838" w:h="11906" w:orient="landscape"/>
      <w:pgMar w:top="1418" w:right="454" w:bottom="1797" w:left="45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5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宋体" w:cs="Arial" w:hAnsi="Calibri"/>
      <w:kern w:val="2"/>
      <w:sz w:val="18"/>
      <w:szCs w:val="22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</Application>
  <Pages>1</Pages>
  <Words>327</Words>
  <Characters>381</Characters>
  <Lines>92</Lines>
  <Paragraphs>90</Paragraphs>
  <CharactersWithSpaces>492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2021-09-17T00:39:51Z</dcterms:created>
  <dcterms:modified xsi:type="dcterms:W3CDTF">2021-09-17T01:16:06Z</dcterms:modified>
</cp:coreProperties>
</file>